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Новые возможности развития в условиях четвертой промышленной революции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Уважаемые </w:t>
      </w:r>
      <w:proofErr w:type="spell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казахстанцы</w:t>
      </w:r>
      <w:proofErr w:type="spellEnd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!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Сегодня мир вступает в эпоху Четвертой промышленной революции, эру глубоких и стремительных изменений: технологических, экономических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социальных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.Н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овый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технологический уклад кардинально меняет то, как мы работаем, реализуем свои гражданские права, воспитываем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детей.Необходимость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быть готовыми к глобальным изменениям и вызовам побудила нас принять Стратегию развития «Казахстан-2050».Мы поставили целью войти в тридцатку самых развитых стран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мира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.Р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еализуется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План нации – 100 конкретных шагов, из которых 60 уже исполнены. Остальные носят в основном долгосрочный характер и осуществляются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планомерно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.В</w:t>
      </w:r>
      <w:proofErr w:type="spellEnd"/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прошлом году запущена Третья модернизация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Казахстана.Успешно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реализуется Программа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индустриализации.Принята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комплексная программа «Цифровой Казахстан».Разработан комплексный Стратегический план развития Республики Казахстан до 2025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года.Наши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долгосрочные цели остаются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неизменными.Все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необходимые программы у нас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есть.Данное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Послание определяет,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что нам предстоит сделать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 для успешной навигации и адаптации в новом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мире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– мире Четвертой промышленной революции.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Дорогие соотечественники!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Мы создали независимый Казахстан, который стал брендом, вызывающим доверие и уважение в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мире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.В</w:t>
      </w:r>
      <w:proofErr w:type="spellEnd"/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2017 году наша страна стала непостоянным членом Совета Безопасности ООН.В январе 2018 года мы председательствуем в нем.Мы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«ЭКСПО».В Казахстане выстроена успешно функционирующая модель рыночной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экономики.В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2017 году страна, преодолев негативные последствия мирового кризиса, вернулась на траекторию уверенного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роста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.П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итогам года рост валового внутреннего продукта составил 4%, а промышленного производства – более 7%.При этом в общем объеме промышленности обрабатывающий сектор превысил 40%.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Благополучное развитие Казахстана позволило сформироваться среднему классу.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Бедность сократилась в 13 раз, уровень безработицы снизился до 4,9%.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Тем не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менее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мы должны четко осознавать, что достижения Казахстана – надежная база, но не гарантия завтрашних успехов.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Эпоха «нефтяного изобилия» практически подходит к концу. Стране требуется новое качество развития.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несет в себе как вызовы, так и возможности.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Уверен, у Казахстана есть все необходимое для вхождения в число лидеров нового мира.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этого нужно сконцентрироваться на решении следующих задач.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ПЕРВОЕ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Индустриализация должна стать флагманом внедрения новых технологий.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Поэтому ориентир на обрабатывающий сектор с высокой производительностью труда неизменен.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цифровизацию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наших предприятий с ориентацией на экспорт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продукции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.О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должны в первую очередь стимулировать трансферт технологий.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Следует реализовать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пилотный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проект по оцифровке нескольких казахстанских промышленных предприятий, а затем этот опыт широко распространить.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Она должна выкристаллизовываться вокруг инновационных центров, таких как </w:t>
      </w:r>
      <w:proofErr w:type="gram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Назарбаев</w:t>
      </w:r>
      <w:proofErr w:type="gramEnd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 xml:space="preserve"> Университет, МФЦА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 xml:space="preserve">Международный технопарк </w:t>
      </w:r>
      <w:proofErr w:type="spell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IT-стартапов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Серьезного пересмотра требует организация деятельности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 Парка инновационных технологий «Алатау»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этого необходимо соответствующее законодательство.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Кроме того, особое значение приобретает развитие IT- и инжиниринговых услуг.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Цифровизация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экономики, помимо дивидендов, несет и риски масштабного высвобождения рабочей силы.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заранее выработать согласованную политику по трудоустройству высвобождаемой рабочей силы.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ВТОРОЕ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Дальнейшее развитие ресурсного потенциала.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активно внедрять комплексные информационно-технологические платформы.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Важно повысить требования к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энергоэффективности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энергосбережению предприятий, а также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экологичности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эффективности работы самих производителей энергии.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Состоявшаяся в Астане выставка «ЭКСПО-2017» показала, как стремительно движется прогре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сс в сф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ере альтернативной, «чистой» энергии.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прогнозам, к 2050 году этот показатель достигнет 80%.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Мы поставили задачу довести долю альтернативной энергии в Казахстане до 30% к 2030 году.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Сегодня у нас уже действует 55 объектов ВИЭ общей мощностью 336 МВт, которыми в 2017 году выработано порядка 1,1 миллиарда кВт∙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«зеленой» энергии.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Важно стимулировать бизнес, инвестировать в «зеленые» технологии.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Эти и другие меры потребуют актуализации законодательства, в том числе Экологического кодекса.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ТРЕТЬЕ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«Умные технологии» – шанс для рывка в развитии агропромышленного комплекса.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Мы научились выращивать различные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сельхозкультуры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производить зерно.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Гордимся этим.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Но этого уже недостаточно.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Приоритетного внимания требует развитие аграрной науки.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Она должна заниматься в первую очередь трансфертом новых технологий и их адаптацией к отечественным условиям.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 этом необходимо пересмотреть роль аграрных университетов.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Беспилотная техника позволяет значительно сократить себестоимость земледелия,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минимизируя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человеческий фактор.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Внедрение новых технологий и </w:t>
      </w:r>
      <w:proofErr w:type="spellStart"/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бизнес-моделей</w:t>
      </w:r>
      <w:proofErr w:type="spellEnd"/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повышение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наукоемкости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АПК усиливают необходимость кооперации хозяйств.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оказывать всестороннюю поддержку сельхозкооперативам.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Интенсификация сельского хозяйства должна происходить с сохранением качества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экологичности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продукции.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переориентировать неэффективные субсидии на удешевление банковских кредитов для субъектов АПК.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ЧЕТВЕРТОЕ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. Повышение эффективности </w:t>
      </w:r>
      <w:proofErr w:type="spell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транспортно-логистической</w:t>
      </w:r>
      <w:proofErr w:type="spellEnd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 инфраструктуры.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Сегодня через Казахстан проходит несколько трансконтинентальных коридоров.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 этом немало сказано.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целом транзит грузов через Казахстан в 2017 году вырос на 17% и составил почти 17 миллионов тонн.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Стоит задача довести ежегодные доходы от транзита в 2020 году до 5 миллиардов долларов.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Необходимо обеспечить масштабное внедрение цифровых технологий, таких как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блокчейн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для отслеживания движения грузов в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онлайн-режиме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беспрепятственного их транзита, а также упрощения таможенных операций.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Современные решения позволяют организовать взаимодействие всех звеньев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логистики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.И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спользование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«больших данных»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(</w:t>
      </w:r>
      <w:proofErr w:type="spell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Big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proofErr w:type="spell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data</w:t>
      </w:r>
      <w:proofErr w:type="spellEnd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)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позволит обеспечить качественной аналитикой, выявить резервы роста и снизить избыточные затраты.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этих целей необходимо внедрить Интеллектуальную транспортную систему.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Она позволит эффективно управлять транспортными потоками и определять потребности дальнейшего развития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инфраструктуры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.Д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улучшения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внутрирегиональной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мобильности важно увеличить финансирование ремонта и реконструкции местной сети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автодорог.Общий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объем ежегодно выделяемых на это бюджетных средств следует довести в среднесрочной перспективе до 150 миллиардов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тенге.Нужно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обеспечить активное участие в этой работе всех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акиматов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регионов.</w:t>
      </w:r>
    </w:p>
    <w:p w:rsidR="00BA1431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ПЯТОЕ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. Внедрение современных технологий в строительстве и коммунальном </w:t>
      </w:r>
      <w:proofErr w:type="spell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секторе</w:t>
      </w:r>
      <w:proofErr w:type="gram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лагодаря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реализуемым программам объемы ввода жилья в Казахстане превысили 10 миллионов квадратных метров в год.</w:t>
      </w:r>
    </w:p>
    <w:p w:rsidR="00BA1431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Эффективно работает система жилищных сбережений, сделавшая жилье доступным для широких слоев населения.</w:t>
      </w:r>
    </w:p>
    <w:p w:rsidR="00BA1431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Обеспеченность жильем на одного жителя выросла в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последние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10 лет на 30% и составляет сегодня 21,6 квадратных метра.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Необходимо довести этот показатель в 2030 году до 30 квадратных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метров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.П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застройки.Нужно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установить повышенные требования к качеству,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экологичности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энергоэффективности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зданий.Строящиеся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уже имеющиеся дома и объекты инфраструктуры необходимо оснащать системами интеллектуального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управления.Это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эффективности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.В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ажно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внести соответствующие изменения в законодательство, в том числе регулирующее сферу естественных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монополий.Акимам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нужно более активно решать вопросы модернизации жилищно-коммунальной инфраструктуры на основе государственно-частного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партнерства.Для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ШЕСТОЕ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. «Перезагрузка» финансового </w:t>
      </w:r>
      <w:proofErr w:type="spell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сектора</w:t>
      </w:r>
      <w:proofErr w:type="gram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еобходимо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завершить очистку банковского портфеля от «плохих»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кредитов.При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этом собственники банков должны нести экономическую ответственность, признавая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убытки.Вывод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средств из банков акционерами в угоду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аффилированных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компаний и лиц должен являться тяжким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преступлением.Национальный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банк не должен быть созерцателем таких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деяний.Иначе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зачем нужен такой госорган?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Нацбанка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должен быть жестким, своевременным и действенным.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Государство будет и далее гарантировать соблюдение интересов простых граждан.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ускорить принятие закона о банкротстве физических лиц.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Нацбанку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экономики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.В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ажным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являются дальнейшее улучшение инвестиционного климата и развитие фондового рынка.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одна из основных задач Международного финансового центра «Астана», который начал свою работу.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Используя лучший международный опыт, он должен стать региональным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хабом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применяющим английское право и современные финансовые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технологии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.Р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азвитию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фондового рынка также будет способствовать успешный вывод акций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нацкомпаний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ФНБ «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Самрук-Казына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 на IPO.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СЕДЬМОЕ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Человеческий капитал – основа модернизации.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u w:val="single"/>
          <w:lang w:eastAsia="ru-RU"/>
        </w:rPr>
        <w:t xml:space="preserve">Новое качество </w:t>
      </w:r>
      <w:proofErr w:type="spell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u w:val="single"/>
          <w:lang w:eastAsia="ru-RU"/>
        </w:rPr>
        <w:t>образования</w:t>
      </w:r>
      <w:proofErr w:type="gram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u w:val="single"/>
          <w:lang w:eastAsia="ru-RU"/>
        </w:rPr>
        <w:t>.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ужно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ускорить создание собственной передовой системы образования, охватывающей граждан всех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возрастов.Ключевым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DE6765" w:rsidRPr="00444752" w:rsidRDefault="00444752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u w:val="single"/>
          <w:lang w:eastAsia="ru-RU"/>
        </w:rPr>
        <w:t>\</w:t>
      </w:r>
      <w:r w:rsidR="00DE6765"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 </w:t>
      </w:r>
      <w:r w:rsidR="00DE6765"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дошкольном образовании</w:t>
      </w:r>
      <w:r w:rsidR="00DE6765"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среднем образовании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начат переход на обновленное содержание, который будет завершен в 2021 году.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абсолютно новые программы, учебники, стандарты и кадры.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Потребуется пересмотреть подходы к обучению и росту квалификации педагогов.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 университетах страны нужно развивать педагогические кафедры и факультеты.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важное условие для подготовки молодежи к новому технологическому укладу.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подушевое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финансирование в городских школах.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Во всех регионах на базе дворцов школьников нужно создать сеть детских технопарков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бизнес-инкубаторов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со всей необходимой инфраструктурой, включая компьютеры, лаборатории, 3D-принтеры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.Э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 поможет успешно интегрировать молодое поколение в научно-исследовательскую и промышленно-технологическую среду.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Будущее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казахстанцев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– за свободным владением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казахским, русским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английским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языками.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Разработана и внедряется новая методика изучения казахского языка для русскоязычных школ.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Если мы хотим, чтобы казахский язык жил в веках, нужно его осовременить, не утяжеляя избыточной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терминологией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.О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днако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 последние годы на казахский язык было переведено 7 тысяч устоявшихся и общепринятых в мире терминов.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Такие «нововведения» иногда доходят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смешного.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Например, «ғаламтор» («Интернет»), «қолтырауын» («крокодил»), «күй сандық» («фортепиано») и таких примеров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полно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.Н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еобходимо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пересмотреть подходы к обоснованности таких переводов и терминологически приблизить наш язык к международному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уровню.</w:t>
      </w:r>
      <w:r w:rsidR="00444752"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\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Переход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 латинский алфавит способствует решению этого вопроса.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Следует определить четкий график перехода на латинский алфавит до 2025 года на всех уровнях образования.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Знание русского языка остается важным.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2016 года в обновленных программах русский язык преподается в казахских школах уже с 1-го класса.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Тогда и возникнет настоящее гражданское общество.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Человек любой этнической группы сможет выбрать любую работу вплоть до избрания Президентом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страны.</w:t>
      </w:r>
      <w:proofErr w:type="spellEnd"/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Казахстанцы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станут единой нацией.</w:t>
      </w:r>
    </w:p>
    <w:p w:rsidR="00444752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Содержательность обучения должна гармонично дополняться современным техническим сопровождением.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обновить программы обучения в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техническом и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профессиональном образовании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с привлечением работодателей и учетом международных требований и цифровых навыков.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продолжить реализацию проекта «Бесплатное профессионально-техническое образование для всех».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Государство дает молодому человеку первую профессию.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Правительство должно выполнить эту задачу.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Интернете необходимо размещать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видеоуроки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видеолекции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от лучших преподавателей средних школ, колледжей и вузов.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Это позволит всем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казахстанцам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в том числе в отдаленных населенных пунктах, получить доступ к лучшим знаниям и компетенциям.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высшем образовании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 этом следует развивать вузовскую науку с приоритетом на исследования в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 xml:space="preserve">металлургии, нефтегазохимии, АПК, </w:t>
      </w:r>
      <w:proofErr w:type="spell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би</w:t>
      </w:r>
      <w:proofErr w:type="gramStart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о</w:t>
      </w:r>
      <w:proofErr w:type="spellEnd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-</w:t>
      </w:r>
      <w:proofErr w:type="gramEnd"/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IT-технологиях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Софинансирование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Наращивание потенциала нации требует дальнейшего развития нашей культуры и идеологии.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Смысл «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Рухани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жаңғыру» именно в этом.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Идеалом нашего общества должен стать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казахстанец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u w:val="single"/>
          <w:lang w:eastAsia="ru-RU"/>
        </w:rPr>
        <w:t>Первоклассное здравоохранение и здоровая нация.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усилить управление общественным здоровьем, пропагандируя здоровый образ жизни.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Особое внимание следует уделить охране и укреплению репродуктивного здоровья молодежи.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Этот опыт давно есть в мире.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смело и активно его внедрять.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онкоцентр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Необходимость ее внедрения не вызывает сомнений.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Минтрудсоцзащиты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сооплату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Важным вопросом являются обеспеченность и качество подготовки медицинских кадров.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Этот опыт должен транслироваться на все медицинские вузы.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Важно обеспечить эффективность 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рынка труда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создать условия, чтобы каждый мог реализовать свой потенциал.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разработать современные стандарты по всем основным профессиям.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Нужно, исходя из требований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профстандартов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разработать новые или обновить действующие образовательные программы.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Резервом экономического роста являются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самозанятые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безработные.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Я не раз требовал разобраться по вопросу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самозанятых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Заслуживает поддержки работа НПП «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Атамекен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 по обучению бизнесу.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Процесс регистрации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самозанятых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Казахстанцы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Не выходя из дома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человек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сможет пройти тесты профориентации, узнать про учебные курсы, меры господдержки и найти интересную работу.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Трудовые книжки тоже следует перевести в электронный формат.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Закон по электронной бирже труда необходимо принять до 1 апреля 2018 года.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lastRenderedPageBreak/>
        <w:t>Социальная политика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будет осуществляться через вовлечение граждан в полноценную экономическую жизнь.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Пенсионная система теперь полностью привязана к трудовому стажу.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Кто б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о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льше работал, тот будет получать б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о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льшую пенсию.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связи с этим всем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казахстанцам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нужно серьезно подойти к легализации своей трудовой деятельности.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Повышен порог ее оказания с 40 до 50% от прожиточного минимума.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нетрудоспособных граждан меры господдержки будут усилены.</w:t>
      </w:r>
      <w:r w:rsidR="00444752"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Дорогие </w:t>
      </w:r>
      <w:proofErr w:type="spell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казахстанцы</w:t>
      </w:r>
      <w:proofErr w:type="spellEnd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!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Все свои социальные обязательства государство исполнит в полном объеме.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Хочу напомнить, в 2016-2017 годах были трижды повышены пенсии и пособия.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Время кризисное. И не многие страны в мире смогли также повысить социальные расходы.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Повышение социальных выплат, в том числе пенсий, увеличит доходы более 3 миллионов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казахстанцев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1 января 2018 года солидарные пенсии выросли на 8%.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Повышение пособий для инвалидов, семьям, потерявшим кормильца, воспитывающим детей-инвалидов, составило до 16%.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1 июля 2018 года базовая пенсия увеличится в среднем в 1,8 раза в зависимости от трудового стажа.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Кроме того, поручаю с 1 июля 2018 года дополнительно ввести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госпособия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для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родителей, осуществляющих уход за совершеннолетними инвалидами I группы с детства.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Ежемесячно такие пособия в размере не ниже одного прожиточного минимума получат порядка 14 тысяч семей.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 эти цели потребуется до 3 миллиардов тенге в 2018 году.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повышения престижа профессии учителя поручаю с    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Обновленное содержание – это современные учебные программы, соответствующие международным стандартам и прошедшие адаптацию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Назарбаев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Интеллектуальных школах.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Они дают нашим детям необходимые функциональную грамотность и критическое мышление.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Категории необходимо присваивать через национальный квалификационный тест, как это делается во всем мире.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будет стимулировать педагогов к постоянному совершенствованию.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результате в зависимости от подтвержденной квалификации в целом заработная плата учителей вырастет от 30 до 50%.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Для этого в текущем году необходимо дополнительно выделить 67 миллиардов тенге.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ВОСЬМОЕ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Эффективное государственное управление.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связи с этим важно ускорить принятие закона, направленного на дальнейшее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дерегулирование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бизнеса.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Необходимо обеспечить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цифровизацию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процессов получения бизнесом господдержки с ее оказанием по принципу «одного окна».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госуслуг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комплексным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принципу «одного заявления».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Также следует продолжить работу по повышению качества услуг субъектов естественных монополий.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Важно устанавливать обоснованные тарифы им и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энергопроизводителям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 учетом инвестиционных программ.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Требуются решительные действия по улучшению </w:t>
      </w:r>
      <w:proofErr w:type="spellStart"/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бизнес-климата</w:t>
      </w:r>
      <w:proofErr w:type="spellEnd"/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особенно на региональном уровне.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Правительство должно подготовить новый пакет системных мер по поддержке бизнеса, вывода его из тени.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факторно-балльной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шкалы.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Поручаю Правительству совместно с Агентством по делам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госслужбы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реализовать в 2018 году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пилотные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проекты в центральных и местных госорганах по внедрению этой системы.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1 января 2018 года в </w:t>
      </w:r>
      <w:r w:rsidRPr="004447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ru-RU"/>
        </w:rPr>
        <w:t>городах районного значения, селах и сельских округах</w:t>
      </w: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2020 года эти нормы будут действовать во всех населенных пунктах.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бюджет села передано 7 видов налоговых и других неналоговых поступлений, а также 19 направлений расходов.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Это позволит вовлечь население в решение вопросов местного значения.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Сегодня понятие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кибербезопасности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Эти и иные меры должны найти отражение в Стратегии национальной безопасности Казахстана. 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ДЕВЯТОЕ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Борьба с коррупцией и верховенство закона.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Будет продолжена превентивная борьба с коррупцией.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Проводится большая работа.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Только за 3 последних года осуждено за коррупцию более 2,5 тысячи лиц, включая </w:t>
      </w:r>
      <w:proofErr w:type="spellStart"/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топ-чиновников</w:t>
      </w:r>
      <w:proofErr w:type="spellEnd"/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руководителей госкомпаний.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 этот период возмещено порядка 17 миллиардов тенге нанесенного ими ущерба.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Важной является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цифровизация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процессов в госорганах, включая их взаимодействие с населением и бизнесом.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Осуществляются институциональные преобразования судебной и правоохранительной систем.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Расширены права адвокатов, а также судебный контроль на досудебной стадии.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Разграничены полномочия и зоны ответственности правоохранительных органов.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гуманизации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правоохранительной деятельности необходимо продолжить.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</w:t>
      </w:r>
      <w:proofErr w:type="gram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контроля за</w:t>
      </w:r>
      <w:proofErr w:type="gram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дорожным движением.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ru-RU"/>
        </w:rPr>
        <w:t>ДЕСЯТОЕ</w:t>
      </w: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. «Умные города» для «умной нации».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2018 год – год 20-летнего юбилея нашей столицы – Астаны.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Ее становление и вхождение в число важнейших центров развития Евразии – предмет нашей общей гордости.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Современные технологии дают эффективные решения проблем быстрорастущего мегаполиса.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Нужно комплексно внедрять управление городской средой на основе концепции «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Смарт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Сити» и развития компетенций людей, переселяющихся в город.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мире пришли к пониманию, что именно города конкурируют за инвесторов.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Они выбирают не страну, а город, в котором комфортно жить и работать.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Поэтому на основе опыта Астаны необходимо сформировать «эталонный» стандарт «</w:t>
      </w:r>
      <w:proofErr w:type="spellStart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Смарт</w:t>
      </w:r>
      <w:proofErr w:type="spellEnd"/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Сити» и начать распространение лучших практик и обмен опытом между городами Казахстана.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Вот 10 задач. Они понятны и ясны.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 xml:space="preserve">Дорогие </w:t>
      </w:r>
      <w:proofErr w:type="spellStart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казахстанцы</w:t>
      </w:r>
      <w:proofErr w:type="spellEnd"/>
      <w:r w:rsidRPr="004447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!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Дан импульс новому этапу технологического и инфраструктурного развития.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Конституционная реформа установила более точный баланс ветвей власти.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Мы развернули процесс обновления национального сознания.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сути, эти три базовых направления являются системной триадой казахстанской модернизации.</w:t>
      </w:r>
    </w:p>
    <w:p w:rsidR="00DE6765" w:rsidRPr="00444752" w:rsidRDefault="00DE6765" w:rsidP="00444752">
      <w:pPr>
        <w:shd w:val="clear" w:color="auto" w:fill="F9F9F9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4447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0357B3" w:rsidRPr="00444752" w:rsidRDefault="000357B3" w:rsidP="00444752">
      <w:pPr>
        <w:spacing w:after="0" w:line="240" w:lineRule="auto"/>
        <w:ind w:left="-993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0357B3" w:rsidRPr="00444752" w:rsidSect="0003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765"/>
    <w:rsid w:val="000357B3"/>
    <w:rsid w:val="001A2981"/>
    <w:rsid w:val="00444752"/>
    <w:rsid w:val="004A6373"/>
    <w:rsid w:val="00A77B2E"/>
    <w:rsid w:val="00BA1431"/>
    <w:rsid w:val="00BC6D72"/>
    <w:rsid w:val="00DE6765"/>
    <w:rsid w:val="00EC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765"/>
    <w:rPr>
      <w:b/>
      <w:bCs/>
    </w:rPr>
  </w:style>
  <w:style w:type="character" w:styleId="a5">
    <w:name w:val="Emphasis"/>
    <w:basedOn w:val="a0"/>
    <w:uiPriority w:val="20"/>
    <w:qFormat/>
    <w:rsid w:val="00DE67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7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284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A398-292A-4018-8A31-68C050C7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</dc:creator>
  <cp:lastModifiedBy>admin-</cp:lastModifiedBy>
  <cp:revision>2</cp:revision>
  <cp:lastPrinted>2018-01-12T05:07:00Z</cp:lastPrinted>
  <dcterms:created xsi:type="dcterms:W3CDTF">2018-01-10T05:35:00Z</dcterms:created>
  <dcterms:modified xsi:type="dcterms:W3CDTF">2018-01-12T05:46:00Z</dcterms:modified>
</cp:coreProperties>
</file>